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7B085" w14:textId="04F716F4" w:rsidR="002727FE" w:rsidRPr="00C32AE2" w:rsidRDefault="002727FE" w:rsidP="002727FE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0ADBA640" w14:textId="77777777" w:rsidR="002727FE" w:rsidRPr="00C32AE2" w:rsidRDefault="002727FE" w:rsidP="002727FE">
      <w:pPr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785A71D" w14:textId="77777777" w:rsidR="002727FE" w:rsidRPr="00C32AE2" w:rsidRDefault="002727FE" w:rsidP="002727FE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4D68D069" w14:textId="77777777" w:rsidR="002727FE" w:rsidRPr="00C32AE2" w:rsidRDefault="002727FE" w:rsidP="002727FE">
      <w:pPr>
        <w:keepNext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C32A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 xml:space="preserve">Suppl 5. </w:t>
      </w:r>
      <w:r w:rsidRPr="00C32AE2">
        <w:rPr>
          <w:rFonts w:ascii="Times New Roman" w:eastAsia="Times New Roman" w:hAnsi="Times New Roman" w:cs="Times New Roman"/>
          <w:kern w:val="0"/>
          <w:sz w:val="24"/>
          <w:szCs w:val="24"/>
        </w:rPr>
        <w:t>Sensitivity of the 90-Day Functional Independence Estimate to Missing Outcomes</w:t>
      </w:r>
    </w:p>
    <w:tbl>
      <w:tblPr>
        <w:tblW w:w="9360" w:type="dxa"/>
        <w:tblBorders>
          <w:top w:val="single" w:sz="12" w:space="0" w:color="000000"/>
          <w:left w:val="none" w:sz="0" w:space="0" w:color="FFFFFF"/>
          <w:bottom w:val="single" w:sz="12" w:space="0" w:color="000000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0"/>
        <w:gridCol w:w="1500"/>
        <w:gridCol w:w="1500"/>
        <w:gridCol w:w="2260"/>
      </w:tblGrid>
      <w:tr w:rsidR="002727FE" w:rsidRPr="00C32AE2" w14:paraId="74283011" w14:textId="77777777" w:rsidTr="00C32AE2">
        <w:trPr>
          <w:cantSplit/>
          <w:tblHeader/>
        </w:trPr>
        <w:tc>
          <w:tcPr>
            <w:tcW w:w="41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1033EC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Scenario for the 3 participants lost to follow-up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A4AE2B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Control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BA5B67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ELP</w:t>
            </w:r>
          </w:p>
        </w:tc>
        <w:tc>
          <w:tcPr>
            <w:tcW w:w="226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511F3C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Risk difference, percentage points (95% CI)</w:t>
            </w:r>
          </w:p>
        </w:tc>
      </w:tr>
      <w:tr w:rsidR="002727FE" w:rsidRPr="00C32AE2" w14:paraId="3043A7B6" w14:textId="77777777" w:rsidTr="00C32AE2">
        <w:trPr>
          <w:cantSplit/>
        </w:trPr>
        <w:tc>
          <w:tcPr>
            <w:tcW w:w="4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C8E2E7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Complete-case analysis (n = 23 and 24)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B592F4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11/23 (47.8)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D38F14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14/24 (58.3)</w:t>
            </w:r>
          </w:p>
        </w:tc>
        <w:tc>
          <w:tcPr>
            <w:tcW w:w="2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24D672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10.5 (−16.9 to 35.8)</w:t>
            </w:r>
          </w:p>
        </w:tc>
      </w:tr>
      <w:tr w:rsidR="002727FE" w:rsidRPr="00C32AE2" w14:paraId="14DDBF1B" w14:textId="77777777" w:rsidTr="00C32AE2">
        <w:trPr>
          <w:cantSplit/>
        </w:trPr>
        <w:tc>
          <w:tcPr>
            <w:tcW w:w="4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85B1DB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Best case for ELP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04F600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11/25 (44.0)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5E36DE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15/25 (60.0)</w:t>
            </w:r>
          </w:p>
        </w:tc>
        <w:tc>
          <w:tcPr>
            <w:tcW w:w="2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6BA676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16.0 (−11.0 to 40.0)</w:t>
            </w:r>
          </w:p>
        </w:tc>
      </w:tr>
      <w:tr w:rsidR="002727FE" w:rsidRPr="00C32AE2" w14:paraId="669A530A" w14:textId="77777777" w:rsidTr="00C32AE2">
        <w:trPr>
          <w:cantSplit/>
        </w:trPr>
        <w:tc>
          <w:tcPr>
            <w:tcW w:w="4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F9382B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Worst case for ELP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EC766F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13/25 (52.0)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882543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14/25 (56.0)</w:t>
            </w:r>
          </w:p>
        </w:tc>
        <w:tc>
          <w:tcPr>
            <w:tcW w:w="2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0A6A3B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4.0 (−22.1 to 29.4)</w:t>
            </w:r>
          </w:p>
        </w:tc>
      </w:tr>
      <w:tr w:rsidR="002727FE" w:rsidRPr="00C32AE2" w14:paraId="275887FA" w14:textId="77777777" w:rsidTr="00C32AE2">
        <w:trPr>
          <w:cantSplit/>
        </w:trPr>
        <w:tc>
          <w:tcPr>
            <w:tcW w:w="4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709F58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All lost participants unfavorable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9DBE5A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11/25 (44.0)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9C2BD5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14/25 (56.0)</w:t>
            </w:r>
          </w:p>
        </w:tc>
        <w:tc>
          <w:tcPr>
            <w:tcW w:w="2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4A5982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12.0 (−14.8 to 36.5)</w:t>
            </w:r>
          </w:p>
        </w:tc>
      </w:tr>
      <w:tr w:rsidR="002727FE" w:rsidRPr="00C32AE2" w14:paraId="2222F851" w14:textId="77777777" w:rsidTr="00C32AE2">
        <w:trPr>
          <w:cantSplit/>
        </w:trPr>
        <w:tc>
          <w:tcPr>
            <w:tcW w:w="4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653AB2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All lost participants favorable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896CF8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13/25 (52.0)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2649AC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15/25 (60.0)</w:t>
            </w:r>
          </w:p>
        </w:tc>
        <w:tc>
          <w:tcPr>
            <w:tcW w:w="22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E534B0" w14:textId="77777777" w:rsidR="002727FE" w:rsidRPr="00C32AE2" w:rsidRDefault="002727FE" w:rsidP="00C32AE2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C32A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8.0 (−18.3 to 32.9)</w:t>
            </w:r>
          </w:p>
        </w:tc>
      </w:tr>
    </w:tbl>
    <w:p w14:paraId="329CEDA1" w14:textId="77777777" w:rsidR="002727FE" w:rsidRPr="00C32AE2" w:rsidRDefault="002727FE" w:rsidP="002727FE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C32AE2">
        <w:rPr>
          <w:rFonts w:ascii="Times New Roman" w:eastAsia="Times New Roman" w:hAnsi="Times New Roman" w:cs="Times New Roman"/>
          <w:kern w:val="0"/>
          <w:sz w:val="24"/>
          <w:szCs w:val="24"/>
        </w:rPr>
        <w:t>Favorable outcome was mRS 0–2 at 90 days. Two control and one ELP participant were lost to follow-up. Risk differences are ELP minus control with Newcombe hybrid-score 95% CIs. Abbreviations: ELP, elevated leg positioning; mRS, modified Rankin Scale.</w:t>
      </w:r>
    </w:p>
    <w:sectPr w:rsidR="002727FE" w:rsidRPr="00C32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7FE"/>
    <w:rsid w:val="0015367D"/>
    <w:rsid w:val="001E626E"/>
    <w:rsid w:val="002727FE"/>
    <w:rsid w:val="003A3EB1"/>
    <w:rsid w:val="004F5CA0"/>
    <w:rsid w:val="00643E52"/>
    <w:rsid w:val="00D1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440A2"/>
  <w15:chartTrackingRefBased/>
  <w15:docId w15:val="{FC064723-A261-48F8-9420-338B9967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7FE"/>
    <w:pPr>
      <w:spacing w:after="160" w:line="259" w:lineRule="auto"/>
    </w:pPr>
    <w:rPr>
      <w:rFonts w:eastAsia="SimSun"/>
      <w:kern w:val="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2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2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7F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7F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7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7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7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7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27F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27F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7F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7F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7F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7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7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7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7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27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2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2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2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27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27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27F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7F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7F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27F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706</Characters>
  <Application>Microsoft Office Word</Application>
  <DocSecurity>0</DocSecurity>
  <Lines>5</Lines>
  <Paragraphs>1</Paragraphs>
  <ScaleCrop>false</ScaleCrop>
  <Company>Grizli777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Qi</dc:creator>
  <cp:keywords/>
  <dc:description/>
  <cp:lastModifiedBy>Robin Wei</cp:lastModifiedBy>
  <cp:revision>3</cp:revision>
  <dcterms:created xsi:type="dcterms:W3CDTF">2026-10-15T00:40:00Z</dcterms:created>
  <dcterms:modified xsi:type="dcterms:W3CDTF">2026-10-21T04:19:00Z</dcterms:modified>
</cp:coreProperties>
</file>